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 w:cs="Times New Roman"/>
          <w:kern w:val="0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华文中宋" w:cs="Times New Roman"/>
          <w:sz w:val="30"/>
          <w:szCs w:val="30"/>
        </w:rPr>
        <w:t>高等学校固定资产折旧年限表</w:t>
      </w:r>
    </w:p>
    <w:tbl>
      <w:tblPr>
        <w:tblStyle w:val="4"/>
        <w:tblpPr w:leftFromText="180" w:rightFromText="180" w:vertAnchor="text" w:horzAnchor="margin" w:tblpY="380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1766"/>
        <w:gridCol w:w="32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固定资产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类别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折旧年限（年）</w:t>
            </w:r>
          </w:p>
        </w:tc>
        <w:tc>
          <w:tcPr>
            <w:tcW w:w="191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一、房屋及构筑物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1.房屋</w:t>
            </w:r>
          </w:p>
        </w:tc>
        <w:tc>
          <w:tcPr>
            <w:tcW w:w="1036" w:type="pct"/>
            <w:vAlign w:val="center"/>
          </w:tcPr>
          <w:p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钢结构</w:t>
            </w:r>
          </w:p>
        </w:tc>
        <w:tc>
          <w:tcPr>
            <w:tcW w:w="103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钢筋混凝土结构</w:t>
            </w:r>
          </w:p>
        </w:tc>
        <w:tc>
          <w:tcPr>
            <w:tcW w:w="103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砖混结构</w:t>
            </w:r>
          </w:p>
        </w:tc>
        <w:tc>
          <w:tcPr>
            <w:tcW w:w="103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砖木结构</w:t>
            </w:r>
          </w:p>
        </w:tc>
        <w:tc>
          <w:tcPr>
            <w:tcW w:w="103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2.简易房</w:t>
            </w:r>
          </w:p>
        </w:tc>
        <w:tc>
          <w:tcPr>
            <w:tcW w:w="103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3.房屋附属设施</w:t>
            </w:r>
          </w:p>
        </w:tc>
        <w:tc>
          <w:tcPr>
            <w:tcW w:w="103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围墙、停车设施等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4.构筑物</w:t>
            </w:r>
          </w:p>
        </w:tc>
        <w:tc>
          <w:tcPr>
            <w:tcW w:w="1036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池、罐、槽、塔等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二、通用设备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1.计算机设备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计算机、网络设备、安全设备、终端设备、存储设备等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pct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2.办公设备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2" w:type="pct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电话机、传真机、摄像机、刻录机等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3.车辆</w:t>
            </w:r>
          </w:p>
        </w:tc>
        <w:tc>
          <w:tcPr>
            <w:tcW w:w="103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载货汽车、牵引汽车、乘用车、专用车辆等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4.图书档案设备</w:t>
            </w:r>
          </w:p>
        </w:tc>
        <w:tc>
          <w:tcPr>
            <w:tcW w:w="103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pct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5.机械设备</w:t>
            </w:r>
          </w:p>
        </w:tc>
        <w:tc>
          <w:tcPr>
            <w:tcW w:w="103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锅炉、液压机械、金属加工设备、泵、风机、气体压缩机、气体分离及液化设备、分离及干燥设备等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6.电气设备</w:t>
            </w:r>
          </w:p>
        </w:tc>
        <w:tc>
          <w:tcPr>
            <w:tcW w:w="103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电机、变压器、电源设备、生活用电器等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7.雷达、无线电和卫星导航设备</w:t>
            </w:r>
          </w:p>
        </w:tc>
        <w:tc>
          <w:tcPr>
            <w:tcW w:w="103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8.通信设备、广播、电视、电影设备</w:t>
            </w:r>
          </w:p>
        </w:tc>
        <w:tc>
          <w:tcPr>
            <w:tcW w:w="103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9.仪器仪表、电子和通信测量仪器、计量标准器具及量具、衡器</w:t>
            </w:r>
          </w:p>
        </w:tc>
        <w:tc>
          <w:tcPr>
            <w:tcW w:w="103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10.除上述以外其他通用设备</w:t>
            </w:r>
          </w:p>
        </w:tc>
        <w:tc>
          <w:tcPr>
            <w:tcW w:w="103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vAlign w:val="center"/>
          </w:tcPr>
          <w:p>
            <w:pPr>
              <w:snapToGrid w:val="0"/>
              <w:spacing w:line="400" w:lineRule="exact"/>
              <w:ind w:right="-8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三、专用设备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1.探矿、采矿、选矿和造块设备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2.石油天然气开采专用设备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3.石油和化学工业专用设备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4.炼焦和金属冶炼轧制设备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5.电力工业专用设备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6.核工业专用设备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7.航空航天工业专用设备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8.非金属矿物制品工业专用设备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9.工程机械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10.农业和林业机械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11.木材采集和加工设备</w:t>
            </w:r>
          </w:p>
        </w:tc>
        <w:tc>
          <w:tcPr>
            <w:tcW w:w="103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12.食品加工专用设备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13.饮料加工设备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14.烟草加工设备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15.粮油作物和饲料加工设备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16.纺织设备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17.缝纫、服饰、制革和毛皮加工设备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18.造纸和印刷机械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19.化学药品和中药专用设备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20.医疗设备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21.电工、电子专用生产设备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22.安全生产设备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23.邮政专用设备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24.环境污染防治设备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25.公安专用设备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26.水工机械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27.殡葬设备及用品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28.铁路运输设备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29.水上交通运输设备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30.航空器及其配套设备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31.专用仪器仪表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32.文艺设备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33.体育设备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34.娱乐设备</w:t>
            </w:r>
          </w:p>
        </w:tc>
        <w:tc>
          <w:tcPr>
            <w:tcW w:w="103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四、家具、用具、装具</w:t>
            </w:r>
          </w:p>
        </w:tc>
        <w:tc>
          <w:tcPr>
            <w:tcW w:w="1036" w:type="pct"/>
            <w:vAlign w:val="center"/>
          </w:tcPr>
          <w:p>
            <w:pPr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1.家具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pct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其中：学生用家具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52" w:type="pct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2.用具、装具</w:t>
            </w:r>
          </w:p>
        </w:tc>
        <w:tc>
          <w:tcPr>
            <w:tcW w:w="10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F41"/>
    <w:rsid w:val="004322CD"/>
    <w:rsid w:val="00760F41"/>
    <w:rsid w:val="009122DD"/>
    <w:rsid w:val="00A21AF5"/>
    <w:rsid w:val="00C6598F"/>
    <w:rsid w:val="2DB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2019-04-12T06:42:00Z</dcterms:created>
  <dc:creator>PC</dc:creator>
  <cp:lastModifiedBy>程林</cp:lastModifiedBy>
  <dcterms:modified xsi:type="dcterms:W3CDTF">2023-04-19T00:27:49Z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